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400"/>
              <w:left w:type="dxa" w:w="400"/>
              <w:bottom w:type="dxa" w:w="320"/>
              <w:right w:type="dxa" w:w="4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FOUNDRY GRADE SILICA SAND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D1DCE8"/>
                <w:sz w:val="22"/>
                <w:szCs w:val="22"/>
              </w:rPr>
              <w:t xml:space="preserve">High Performance  ·  Strong Molds  ·  Defect-Free Castings</w:t>
            </w:r>
          </w:p>
        </w:tc>
      </w:tr>
    </w:tbl>
    <w:p>
      <w:pPr>
        <w:spacing w:after="0" w:before="0" w:line="200"/>
      </w:pPr>
    </w:p>
    <w:p>
      <w:pPr>
        <w:spacing w:after="160" w:before="0"/>
        <w:jc w:val="center"/>
      </w:pPr>
      <w:r>
        <w:rPr>
          <w:rFonts w:ascii="Arial" w:cs="Arial" w:eastAsia="Arial" w:hAnsi="Arial"/>
          <w:i/>
          <w:iCs/>
          <w:color w:val="4A5568"/>
          <w:sz w:val="21"/>
          <w:szCs w:val="21"/>
        </w:rPr>
        <w:t xml:space="preserve">High-performance silica sand designed for strong molds, high permeability, and defect-free castings.</w:t>
      </w:r>
    </w:p>
    <w:p>
      <w:pPr>
        <w:pBdr>
          <w:bottom w:val="single" w:color="2563A8" w:sz="8"/>
        </w:pBdr>
        <w:spacing w:after="80" w:before="240"/>
      </w:pPr>
      <w:r>
        <w:rPr>
          <w:rFonts w:ascii="Arial" w:cs="Arial" w:eastAsia="Arial" w:hAnsi="Arial"/>
          <w:b/>
          <w:bCs/>
          <w:color w:val="1A3558"/>
          <w:spacing w:val="40"/>
          <w:sz w:val="22"/>
          <w:szCs w:val="22"/>
        </w:rPr>
        <w:t xml:space="preserve">KEY FEATURES</w:t>
      </w:r>
    </w:p>
    <w:p>
      <w:pPr>
        <w:spacing w:after="0" w:before="0" w:lin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 SiO₂ ≥ 98.5%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 Wide AFS Range (25–100)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 Low Clay &amp; Moisture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 High Permeability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558" w:val="clear"/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  Superior Bonding &amp; Finish</w:t>
            </w:r>
          </w:p>
        </w:tc>
      </w:tr>
    </w:tbl>
    <w:p>
      <w:pPr>
        <w:spacing w:after="0" w:before="0" w:line="200"/>
      </w:pPr>
    </w:p>
    <w:p>
      <w:pPr>
        <w:pBdr>
          <w:bottom w:val="single" w:color="2563A8" w:sz="8"/>
        </w:pBdr>
        <w:spacing w:after="80" w:before="240"/>
      </w:pPr>
      <w:r>
        <w:rPr>
          <w:rFonts w:ascii="Arial" w:cs="Arial" w:eastAsia="Arial" w:hAnsi="Arial"/>
          <w:b/>
          <w:bCs/>
          <w:color w:val="1A3558"/>
          <w:spacing w:val="40"/>
          <w:sz w:val="22"/>
          <w:szCs w:val="22"/>
        </w:rPr>
        <w:t xml:space="preserve">TECHNICAL SPECIFICATIONS</w:t>
      </w:r>
    </w:p>
    <w:p>
      <w:pPr>
        <w:spacing w:after="0" w:before="0" w:lin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rPr>
          <w:tblHeader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1A355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Parameter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1A3558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Specification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SiO₂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≥ 98.5%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AFS Grain Fineness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AFS 25–30 · AFS 30–35 · AFS 35–40 · AFS 40–45 · AFS 45–50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AFS 50–55 · AFS 55–60 · AFS 60–65 · AFS 65–70 · AFS 70–75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&amp; other grades available as per customer requirements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Clay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≤ 0.20%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Moisture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≤ 0.30%  (Customizable)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Grain Shape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Sub-angular to Rounded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Permeability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High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LOI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≤ 0.50%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Processing</w:t>
            </w:r>
          </w:p>
        </w:tc>
        <w:tc>
          <w:tcPr>
            <w:tcW w:type="dxa" w:w="666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4A5568"/>
                <w:sz w:val="20"/>
                <w:szCs w:val="20"/>
              </w:rPr>
              <w:t xml:space="preserve">Washed, Dried &amp; Sieved</w:t>
            </w:r>
          </w:p>
        </w:tc>
      </w:tr>
    </w:tbl>
    <w:p>
      <w:pPr>
        <w:spacing w:after="0" w:before="0" w:line="200"/>
      </w:pPr>
    </w:p>
    <w:p>
      <w:pPr>
        <w:pBdr>
          <w:bottom w:val="single" w:color="2563A8" w:sz="8"/>
        </w:pBdr>
        <w:spacing w:after="80" w:before="240"/>
      </w:pPr>
      <w:r>
        <w:rPr>
          <w:rFonts w:ascii="Arial" w:cs="Arial" w:eastAsia="Arial" w:hAnsi="Arial"/>
          <w:b/>
          <w:bCs/>
          <w:color w:val="1A3558"/>
          <w:spacing w:val="40"/>
          <w:sz w:val="22"/>
          <w:szCs w:val="22"/>
        </w:rPr>
        <w:t xml:space="preserve">END-USE APPLICATIONS</w:t>
      </w:r>
    </w:p>
    <w:p>
      <w:pPr>
        <w:spacing w:after="0" w:before="0" w:line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2563A8" w:sz="12"/>
              <w:left w:val="none" w:color="FFFFFF" w:sz="0"/>
              <w:bottom w:val="single" w:color="D1DCE8" w:sz="4"/>
              <w:right w:val="none" w:color="FFFFFF" w:sz="0"/>
            </w:tcBorders>
            <w:shd w:fill="F0F4F8" w:val="clear"/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2"/>
                <w:szCs w:val="22"/>
              </w:rPr>
              <w:t xml:space="preserve">Ferrous Foundries</w:t>
            </w:r>
          </w:p>
        </w:tc>
        <w:tc>
          <w:tcPr>
            <w:tcW w:type="dxa" w:w="4680"/>
            <w:tcBorders>
              <w:top w:val="single" w:color="2563A8" w:sz="12"/>
              <w:left w:val="none" w:color="FFFFFF" w:sz="0"/>
              <w:bottom w:val="single" w:color="D1DCE8" w:sz="4"/>
              <w:right w:val="none" w:color="FFFFFF" w:sz="0"/>
            </w:tcBorders>
            <w:shd w:fill="F0F4F8" w:val="clear"/>
            <w:tcMar>
              <w:top w:type="dxa" w:w="160"/>
              <w:left w:type="dxa" w:w="140"/>
              <w:bottom w:type="dxa" w:w="1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2"/>
                <w:szCs w:val="22"/>
              </w:rPr>
              <w:t xml:space="preserve">Non-Ferrous Foundries</w:t>
            </w:r>
          </w:p>
        </w:tc>
      </w:tr>
    </w:tbl>
    <w:p>
      <w:pPr>
        <w:spacing w:after="0" w:before="0" w:line="200"/>
      </w:pPr>
    </w:p>
    <w:p>
      <w:pPr>
        <w:pBdr>
          <w:bottom w:val="single" w:color="2563A8" w:sz="8"/>
        </w:pBdr>
        <w:spacing w:after="80" w:before="240"/>
      </w:pPr>
      <w:r>
        <w:rPr>
          <w:rFonts w:ascii="Arial" w:cs="Arial" w:eastAsia="Arial" w:hAnsi="Arial"/>
          <w:b/>
          <w:bCs/>
          <w:color w:val="1A3558"/>
          <w:spacing w:val="40"/>
          <w:sz w:val="22"/>
          <w:szCs w:val="22"/>
        </w:rPr>
        <w:t xml:space="preserve">TRUSTED BY INDUSTRY LEADERS</w:t>
      </w:r>
    </w:p>
    <w:p>
      <w:pPr>
        <w:spacing w:after="100" w:before="120"/>
      </w:pPr>
      <w:r>
        <w:rPr>
          <w:rFonts w:ascii="Arial" w:cs="Arial" w:eastAsia="Arial" w:hAnsi="Arial"/>
          <w:color w:val="4A5568"/>
          <w:sz w:val="20"/>
          <w:szCs w:val="20"/>
        </w:rPr>
        <w:t xml:space="preserve">Our foundry sand is the preferred choice of some of India's most demanding manufacturers:</w:t>
      </w:r>
    </w:p>
    <w:p>
      <w:pPr>
        <w:spacing w:after="0" w:before="0" w:lin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1"/>
                <w:szCs w:val="21"/>
              </w:rPr>
              <w:t xml:space="preserve">SAIL</w:t>
            </w:r>
          </w:p>
        </w:tc>
        <w:tc>
          <w:tcPr>
            <w:tcW w:type="dxa" w:w="312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1"/>
                <w:szCs w:val="21"/>
              </w:rPr>
              <w:t xml:space="preserve">BHEL</w:t>
            </w:r>
          </w:p>
        </w:tc>
        <w:tc>
          <w:tcPr>
            <w:tcW w:type="dxa" w:w="312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1"/>
                <w:szCs w:val="21"/>
              </w:rPr>
              <w:t xml:space="preserve">Texmaco Rail</w:t>
            </w:r>
          </w:p>
        </w:tc>
      </w:tr>
      <w:tr>
        <w:tc>
          <w:tcPr>
            <w:tcW w:type="dxa" w:w="312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1"/>
                <w:szCs w:val="21"/>
              </w:rPr>
              <w:t xml:space="preserve">Sonalika</w:t>
            </w:r>
          </w:p>
        </w:tc>
        <w:tc>
          <w:tcPr>
            <w:tcW w:type="dxa" w:w="312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1"/>
                <w:szCs w:val="21"/>
              </w:rPr>
              <w:t xml:space="preserve">Titagarh Rail Systems</w:t>
            </w:r>
          </w:p>
        </w:tc>
        <w:tc>
          <w:tcPr>
            <w:tcW w:type="dxa" w:w="3120"/>
            <w:tcBorders>
              <w:top w:val="single" w:color="D1DCE8" w:sz="4"/>
              <w:left w:val="single" w:color="D1DCE8" w:sz="4"/>
              <w:bottom w:val="single" w:color="D1DCE8" w:sz="4"/>
              <w:right w:val="single" w:color="D1DCE8" w:sz="4"/>
            </w:tcBorders>
            <w:shd w:fill="E8EFF7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558"/>
                <w:sz w:val="21"/>
                <w:szCs w:val="21"/>
              </w:rPr>
              <w:t xml:space="preserve">Kiswok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  <w:i/>
          <w:iCs/>
          <w:color w:val="4A5568"/>
          <w:sz w:val="20"/>
          <w:szCs w:val="20"/>
        </w:rPr>
        <w:t xml:space="preserve">&amp; many more across ferrous and non-ferrous sectors.</w:t>
      </w:r>
    </w:p>
    <w:p>
      <w:pPr>
        <w:spacing w:after="0" w:before="0" w:line="3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563A8" w:sz="12"/>
              <w:left w:val="none" w:color="FFFFFF" w:sz="0"/>
              <w:bottom w:val="single" w:color="D1DCE8" w:sz="4"/>
              <w:right w:val="none" w:color="FFFFFF" w:sz="0"/>
            </w:tcBorders>
            <w:shd w:fill="F0F4F8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A3558"/>
                <w:sz w:val="20"/>
                <w:szCs w:val="20"/>
              </w:rPr>
              <w:t xml:space="preserve">Note: </w:t>
            </w:r>
            <w:r>
              <w:rPr>
                <w:rFonts w:ascii="Arial" w:cs="Arial" w:eastAsia="Arial" w:hAnsi="Arial"/>
                <w:color w:val="4A5568"/>
                <w:sz w:val="20"/>
                <w:szCs w:val="20"/>
              </w:rPr>
              <w:t xml:space="preserve">AFS grain fineness numbers and moisture levels are fully customizable to meet specific casting and mold requirements. Please contact QMDC for tailored grades and bulk supply enquiries.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3558" w:sz="6"/>
      </w:pBdr>
      <w:tabs>
        <w:tab w:val="right" w:pos="9360"/>
      </w:tabs>
      <w:spacing w:before="60"/>
    </w:pPr>
    <w:r>
      <w:rPr>
        <w:rFonts w:ascii="Arial" w:cs="Arial" w:eastAsia="Arial" w:hAnsi="Arial"/>
        <w:color w:val="4A5568"/>
        <w:sz w:val="16"/>
        <w:szCs w:val="16"/>
      </w:rPr>
      <w:t xml:space="preserve">Confidential  |  For Trade Use Only</w:t>
    </w:r>
    <w:r>
      <w:rPr>
        <w:rFonts w:ascii="Arial" w:cs="Arial" w:eastAsia="Arial" w:hAnsi="Arial"/>
        <w:color w:val="4A5568"/>
        <w:sz w:val="16"/>
        <w:szCs w:val="16"/>
      </w:rPr>
      <w:t xml:space="preserve">	Page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558" w:sz="6"/>
      </w:pBdr>
      <w:spacing w:after="60"/>
    </w:pPr>
    <w:r>
      <w:rPr>
        <w:rFonts w:ascii="Arial" w:cs="Arial" w:eastAsia="Arial" w:hAnsi="Arial"/>
        <w:b/>
        <w:bCs/>
        <w:color w:val="1A3558"/>
        <w:sz w:val="18"/>
        <w:szCs w:val="18"/>
      </w:rPr>
      <w:t xml:space="preserve">QMDC – Quality Mineral Development Corporation</w:t>
    </w:r>
    <w:r>
      <w:rPr>
        <w:rFonts w:ascii="Arial" w:cs="Arial" w:eastAsia="Arial" w:hAnsi="Arial"/>
        <w:color w:val="4A5568"/>
        <w:sz w:val="18"/>
        <w:szCs w:val="18"/>
      </w:rPr>
      <w:t xml:space="preserve">     |     Foundry Grade Silica Sand – Product Data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2026-05-12T11:47:55.334Z</dcterms:created>
  <dcterms:modified xsi:type="dcterms:W3CDTF">2026-05-12T11:47:55.335Z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